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F0" w:rsidRDefault="007F3E7F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-270510</wp:posOffset>
                </wp:positionV>
                <wp:extent cx="657225" cy="819785"/>
                <wp:effectExtent l="0" t="0" r="9525" b="0"/>
                <wp:wrapNone/>
                <wp:docPr id="1" name="Рисунок 3" descr="БутурлинскийМР_ПП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БутурлинскийМР_ПП-05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2.10pt;mso-position-horizontal:absolute;mso-position-vertical-relative:text;margin-top:-21.30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CC17F0" w:rsidRDefault="00CC17F0">
      <w:pPr>
        <w:keepNext/>
        <w:jc w:val="center"/>
        <w:outlineLvl w:val="0"/>
        <w:rPr>
          <w:b/>
          <w:bCs/>
          <w:sz w:val="28"/>
          <w:szCs w:val="28"/>
        </w:rPr>
      </w:pPr>
    </w:p>
    <w:p w:rsidR="00CC17F0" w:rsidRDefault="00CC17F0">
      <w:pPr>
        <w:keepNext/>
        <w:jc w:val="center"/>
        <w:outlineLvl w:val="0"/>
        <w:rPr>
          <w:b/>
          <w:bCs/>
          <w:sz w:val="28"/>
          <w:szCs w:val="28"/>
        </w:rPr>
      </w:pPr>
    </w:p>
    <w:p w:rsidR="00CC17F0" w:rsidRDefault="007F3E7F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CC17F0" w:rsidRDefault="007F3E7F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CC17F0" w:rsidRDefault="007F3E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CC17F0" w:rsidRDefault="00CC17F0">
      <w:pPr>
        <w:jc w:val="center"/>
        <w:rPr>
          <w:b/>
          <w:sz w:val="28"/>
          <w:szCs w:val="28"/>
        </w:rPr>
      </w:pPr>
    </w:p>
    <w:p w:rsidR="00CC17F0" w:rsidRDefault="007F3E7F">
      <w:pPr>
        <w:keepNext/>
        <w:spacing w:line="360" w:lineRule="auto"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  проект</w:t>
      </w:r>
    </w:p>
    <w:p w:rsidR="00CC17F0" w:rsidRDefault="00CC17F0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21"/>
        <w:gridCol w:w="605"/>
        <w:gridCol w:w="2503"/>
        <w:gridCol w:w="318"/>
        <w:gridCol w:w="3108"/>
      </w:tblGrid>
      <w:tr w:rsidR="00CC17F0">
        <w:tc>
          <w:tcPr>
            <w:tcW w:w="3426" w:type="dxa"/>
            <w:gridSpan w:val="2"/>
          </w:tcPr>
          <w:p w:rsidR="00CC17F0" w:rsidRDefault="007F3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</w:t>
            </w:r>
          </w:p>
        </w:tc>
        <w:tc>
          <w:tcPr>
            <w:tcW w:w="2821" w:type="dxa"/>
            <w:gridSpan w:val="2"/>
          </w:tcPr>
          <w:p w:rsidR="00CC17F0" w:rsidRDefault="00CC1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</w:tcPr>
          <w:p w:rsidR="00CC17F0" w:rsidRDefault="007F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№ _____</w:t>
            </w:r>
          </w:p>
        </w:tc>
      </w:tr>
      <w:tr w:rsidR="00CC17F0">
        <w:trPr>
          <w:gridAfter w:val="2"/>
          <w:wAfter w:w="3426" w:type="dxa"/>
        </w:trPr>
        <w:tc>
          <w:tcPr>
            <w:tcW w:w="2821" w:type="dxa"/>
          </w:tcPr>
          <w:p w:rsidR="00CC17F0" w:rsidRDefault="00CC1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:rsidR="00CC17F0" w:rsidRDefault="00CC17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7F0" w:rsidRDefault="007F3E7F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О внесении изменений в </w:t>
      </w:r>
      <w:r>
        <w:rPr>
          <w:b/>
          <w:sz w:val="28"/>
          <w:szCs w:val="20"/>
          <w:lang w:eastAsia="ar-SA"/>
        </w:rPr>
        <w:t>Положение о муниципальном земельном</w:t>
      </w:r>
      <w:bookmarkStart w:id="0" w:name="_GoBack"/>
      <w:bookmarkEnd w:id="0"/>
      <w:r>
        <w:rPr>
          <w:b/>
          <w:sz w:val="28"/>
          <w:szCs w:val="20"/>
          <w:lang w:eastAsia="ar-SA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29 июля 2025 г. № 50</w:t>
      </w:r>
    </w:p>
    <w:p w:rsidR="00CC17F0" w:rsidRDefault="00CC17F0">
      <w:pPr>
        <w:jc w:val="center"/>
        <w:rPr>
          <w:b/>
          <w:sz w:val="28"/>
          <w:szCs w:val="20"/>
          <w:lang w:eastAsia="ar-SA"/>
        </w:rPr>
      </w:pPr>
    </w:p>
    <w:p w:rsidR="00CC17F0" w:rsidRDefault="007F3E7F">
      <w:pPr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Руководствуясь Фе</w:t>
      </w:r>
      <w:r>
        <w:rPr>
          <w:sz w:val="28"/>
          <w:szCs w:val="28"/>
        </w:rPr>
        <w:t xml:space="preserve">деральным законом от 31 июля 2020 г. № 248-ФЗ «О государственном контроле (надзоре) и муниципальном контроле в Российской Федерации», </w:t>
      </w:r>
      <w:r>
        <w:rPr>
          <w:rFonts w:eastAsia="Calibri"/>
          <w:sz w:val="28"/>
          <w:szCs w:val="28"/>
        </w:rPr>
        <w:t xml:space="preserve">Совет депутатов Бутурлинского муниципального округа Нижегородской  области </w:t>
      </w:r>
      <w:r>
        <w:rPr>
          <w:rFonts w:eastAsia="Calibri"/>
          <w:b/>
          <w:sz w:val="28"/>
          <w:szCs w:val="28"/>
        </w:rPr>
        <w:t>р е ш и л:</w:t>
      </w:r>
    </w:p>
    <w:p w:rsidR="00CC17F0" w:rsidRDefault="007F3E7F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rFonts w:eastAsia="Calibri"/>
          <w:sz w:val="28"/>
          <w:szCs w:val="28"/>
        </w:rPr>
        <w:t>1. Внести в Положение о муниципально</w:t>
      </w:r>
      <w:r>
        <w:rPr>
          <w:rFonts w:eastAsia="Calibri"/>
          <w:sz w:val="28"/>
          <w:szCs w:val="28"/>
        </w:rPr>
        <w:t>м земельном контроле на территории Бутурлинского муниципального округа Нижегородской области</w:t>
      </w:r>
      <w:r>
        <w:rPr>
          <w:sz w:val="28"/>
          <w:szCs w:val="20"/>
          <w:lang w:eastAsia="ar-SA"/>
        </w:rPr>
        <w:t>, утвержденное решением Совета депутатов Бутурлинского муниципального округа Нижегородской области от 29 июля 2025 г. № 50, следующие изменения:</w:t>
      </w:r>
    </w:p>
    <w:p w:rsidR="00CC17F0" w:rsidRDefault="007F3E7F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>1.1. Абзац 2 пункта</w:t>
      </w:r>
      <w:r>
        <w:rPr>
          <w:sz w:val="28"/>
          <w:szCs w:val="20"/>
          <w:lang w:eastAsia="ar-SA"/>
        </w:rPr>
        <w:t xml:space="preserve"> 3.6.2 изложить в следующей редакции:</w:t>
      </w:r>
    </w:p>
    <w:p w:rsidR="00CC17F0" w:rsidRDefault="007F3E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«</w:t>
      </w:r>
      <w:r>
        <w:rPr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с использованием мобильного приложения «Инспектор», на личном приеме либо в ходе проведения профила</w:t>
      </w:r>
      <w:r>
        <w:rPr>
          <w:sz w:val="28"/>
          <w:szCs w:val="28"/>
        </w:rPr>
        <w:t>ктического мероприятия, контрольного (надзорного) и не должно превышать 15 минут</w:t>
      </w:r>
      <w:r>
        <w:rPr>
          <w:sz w:val="28"/>
          <w:szCs w:val="28"/>
          <w:highlight w:val="white"/>
        </w:rPr>
        <w:t>»</w:t>
      </w:r>
      <w:r>
        <w:rPr>
          <w:sz w:val="28"/>
          <w:szCs w:val="28"/>
        </w:rPr>
        <w:t>.</w:t>
      </w:r>
    </w:p>
    <w:p w:rsidR="00CC17F0" w:rsidRDefault="007F3E7F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>1.2.  Абзац 3 пункта 3.6.3</w:t>
      </w:r>
      <w:r>
        <w:rPr>
          <w:sz w:val="28"/>
          <w:szCs w:val="20"/>
          <w:lang w:eastAsia="ar-SA"/>
        </w:rPr>
        <w:t xml:space="preserve"> изложить в следующей редакции:</w:t>
      </w:r>
    </w:p>
    <w:p w:rsidR="00CC17F0" w:rsidRDefault="007F3E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«</w:t>
      </w:r>
      <w:r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предостережения, в том числе посредством единого </w:t>
      </w:r>
      <w:r>
        <w:rPr>
          <w:sz w:val="28"/>
          <w:szCs w:val="28"/>
        </w:rPr>
        <w:lastRenderedPageBreak/>
        <w:t>портала государственных и муниципальных услуг или регион</w:t>
      </w:r>
      <w:r>
        <w:rPr>
          <w:sz w:val="28"/>
          <w:szCs w:val="28"/>
        </w:rPr>
        <w:t>ального портала государственных и муниципальных услуг».</w:t>
      </w:r>
    </w:p>
    <w:p w:rsidR="00CC17F0" w:rsidRDefault="007F3E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</w:t>
      </w:r>
      <w:r>
        <w:rPr>
          <w:sz w:val="28"/>
          <w:szCs w:val="20"/>
          <w:lang w:eastAsia="ar-SA"/>
        </w:rPr>
        <w:t>ункт  5</w:t>
      </w:r>
      <w:r>
        <w:rPr>
          <w:sz w:val="28"/>
          <w:szCs w:val="20"/>
          <w:lang w:eastAsia="ar-SA"/>
        </w:rPr>
        <w:t xml:space="preserve"> пункта 8.1 изложить в следующей редакции:</w:t>
      </w:r>
    </w:p>
    <w:p w:rsidR="00CC17F0" w:rsidRDefault="007F3E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«5) не препятствовать присутствию контролируемых лиц, их представителей, представителей саморегулируемой организации, если для контролируемог</w:t>
      </w:r>
      <w:r>
        <w:rPr>
          <w:sz w:val="28"/>
          <w:szCs w:val="28"/>
        </w:rPr>
        <w:t>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</w:t>
      </w:r>
      <w:r>
        <w:rPr>
          <w:sz w:val="28"/>
          <w:szCs w:val="28"/>
        </w:rPr>
        <w:t>й, уполномоченного по защите прав предпринимателей в субъекте Российской Федерации при проведении контрольных (надзорных) мероприятий ( за исключением контрольных (надзорных) мероприятий, при проведении которых не требуется взаимодействие контрольных (надз</w:t>
      </w:r>
      <w:r>
        <w:rPr>
          <w:sz w:val="28"/>
          <w:szCs w:val="28"/>
        </w:rPr>
        <w:t>орных) органов с контролируемыми лицами) и в случаях, предусмотренных Федеральным законом от 31 июля 2020 г. № 248-ФЗ «О государственном контроле (надзоре) и муниципальном контроле в Российской Федерации», осуществлять консультирование».</w:t>
      </w:r>
    </w:p>
    <w:p w:rsidR="00CC17F0" w:rsidRDefault="007F3E7F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8"/>
        </w:rPr>
        <w:t>2. Опубликовать (о</w:t>
      </w:r>
      <w:r>
        <w:rPr>
          <w:sz w:val="28"/>
          <w:szCs w:val="28"/>
        </w:rPr>
        <w:t>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</w:t>
      </w:r>
      <w:r>
        <w:rPr>
          <w:sz w:val="28"/>
          <w:szCs w:val="28"/>
        </w:rPr>
        <w:t xml:space="preserve">ого муниципального округа Нижегородской области в информационно-коммуникационной сети «Интернет» по адресу: </w:t>
      </w:r>
      <w:r>
        <w:rPr>
          <w:bCs/>
          <w:color w:val="000000"/>
          <w:sz w:val="28"/>
          <w:szCs w:val="28"/>
          <w:lang w:val="en-US"/>
        </w:rPr>
        <w:t>buturlino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nobl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ru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разделе «Совет депутатов».</w:t>
      </w:r>
    </w:p>
    <w:p w:rsidR="00CC17F0" w:rsidRDefault="007F3E7F">
      <w:pPr>
        <w:pStyle w:val="afd"/>
        <w:tabs>
          <w:tab w:val="left" w:pos="1049"/>
        </w:tabs>
        <w:spacing w:line="360" w:lineRule="auto"/>
        <w:ind w:firstLine="720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CC17F0" w:rsidRDefault="00CC17F0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8"/>
        <w:gridCol w:w="4707"/>
      </w:tblGrid>
      <w:tr w:rsidR="00CC17F0">
        <w:tc>
          <w:tcPr>
            <w:tcW w:w="4648" w:type="dxa"/>
          </w:tcPr>
          <w:p w:rsidR="00CC17F0" w:rsidRDefault="007F3E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</w:t>
            </w:r>
            <w:r>
              <w:rPr>
                <w:bCs/>
                <w:sz w:val="28"/>
                <w:szCs w:val="28"/>
              </w:rPr>
              <w:t>о муниципального округа Нижегородской области</w:t>
            </w:r>
          </w:p>
          <w:p w:rsidR="00CC17F0" w:rsidRDefault="007F3E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Н.А. Чичков</w:t>
            </w:r>
          </w:p>
        </w:tc>
        <w:tc>
          <w:tcPr>
            <w:tcW w:w="4707" w:type="dxa"/>
          </w:tcPr>
          <w:p w:rsidR="00CC17F0" w:rsidRDefault="007F3E7F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CC17F0" w:rsidRDefault="007F3E7F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М.Ф.Петрова</w:t>
            </w:r>
          </w:p>
        </w:tc>
      </w:tr>
    </w:tbl>
    <w:p w:rsidR="00CC17F0" w:rsidRDefault="00CC17F0"/>
    <w:sectPr w:rsidR="00CC17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F0" w:rsidRDefault="007F3E7F">
      <w:r>
        <w:separator/>
      </w:r>
    </w:p>
  </w:endnote>
  <w:endnote w:type="continuationSeparator" w:id="0">
    <w:p w:rsidR="00CC17F0" w:rsidRDefault="007F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F0" w:rsidRDefault="007F3E7F">
      <w:r>
        <w:separator/>
      </w:r>
    </w:p>
  </w:footnote>
  <w:footnote w:type="continuationSeparator" w:id="0">
    <w:p w:rsidR="00CC17F0" w:rsidRDefault="007F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F5645"/>
    <w:multiLevelType w:val="hybridMultilevel"/>
    <w:tmpl w:val="9A14719E"/>
    <w:lvl w:ilvl="0" w:tplc="40EAA932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D163F76">
      <w:start w:val="1"/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F1FC04C8">
      <w:start w:val="1"/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EF484248">
      <w:start w:val="1"/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5978EBB4">
      <w:start w:val="1"/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E59C31FE">
      <w:start w:val="1"/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8681E3E">
      <w:start w:val="1"/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AE64B608">
      <w:start w:val="1"/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CA106AB0">
      <w:start w:val="1"/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F0"/>
    <w:rsid w:val="007F3E7F"/>
    <w:rsid w:val="00C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00DD9-85A1-4B23-B533-C8F70536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Body Text"/>
    <w:basedOn w:val="a"/>
    <w:link w:val="afe"/>
    <w:pPr>
      <w:jc w:val="both"/>
    </w:pPr>
    <w:rPr>
      <w:sz w:val="28"/>
      <w:szCs w:val="20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7F2F-0608-4833-8515-64C806E3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ekonomika-4</cp:lastModifiedBy>
  <cp:revision>7</cp:revision>
  <dcterms:created xsi:type="dcterms:W3CDTF">2024-08-23T06:53:00Z</dcterms:created>
  <dcterms:modified xsi:type="dcterms:W3CDTF">2026-04-03T12:19:00Z</dcterms:modified>
</cp:coreProperties>
</file>